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1"/>
        <w:numPr>
          <w:ilvl w:val="0"/>
          <w:numId w:val="2"/>
        </w:numPr>
        <w:ind w:left="364" w:right="28" w:hanging="0"/>
        <w:rPr/>
      </w:pPr>
      <w:r>
        <w:rPr/>
        <w:t>CEFLEX : Le soutien de l’intégration des emballages souples dans l’économie circulaire bénéficie d’un renforcement de la collaboration</w:t>
      </w:r>
    </w:p>
    <w:p>
      <w:pPr>
        <w:pStyle w:val="Normal"/>
        <w:ind w:left="0" w:right="28" w:hanging="0"/>
        <w:rPr/>
      </w:pPr>
      <w:r>
        <w:rPr>
          <w:sz w:val="22"/>
        </w:rPr>
        <w:t xml:space="preserve">CEFLEX, le projet de collaboration visant l’augmentation de la collecte et du recyclage des formats d’emballage souple inférieurs au format A4, s’est considérablement développé depuis son lancement officiel en 2017 au salon Interpack. Le nombre de participants a augmenté de </w:t>
      </w:r>
      <w:r>
        <w:rPr>
          <w:sz w:val="22"/>
        </w:rPr>
        <w:t>56</w:t>
      </w:r>
      <w:r>
        <w:rPr>
          <w:sz w:val="22"/>
        </w:rPr>
        <w:t xml:space="preserve"> % au cours des sept derniers mois et l’on compte aujourd’hui </w:t>
      </w:r>
      <w:r>
        <w:rPr>
          <w:sz w:val="22"/>
        </w:rPr>
        <w:t>53</w:t>
      </w:r>
      <w:r>
        <w:rPr>
          <w:sz w:val="22"/>
        </w:rPr>
        <w:t> partenaires, dont des entreprises et organisations issues de toute la chaîne de valeur.</w:t>
      </w:r>
    </w:p>
    <w:p>
      <w:pPr>
        <w:pStyle w:val="Normal"/>
        <w:ind w:left="0" w:right="28" w:hanging="0"/>
        <w:rPr/>
      </w:pPr>
      <w:r>
        <w:rPr>
          <w:sz w:val="22"/>
        </w:rPr>
        <w:t xml:space="preserve">CEFLEX a pour mission d’adapter davantage l’emballage souple à l’économie circulaire, à travers la collaboration de partenaires représentant toute la chaîne de valeur, pour soutenir de meilleures solutions de conception d’ici à 2025. « Grâce au large éventail de partenaires, associé à une solide collaboration, des progrès sont réalisés sur </w:t>
      </w:r>
      <w:r>
        <w:rPr>
          <w:sz w:val="22"/>
        </w:rPr>
        <w:t xml:space="preserve">tous </w:t>
      </w:r>
      <w:r>
        <w:rPr>
          <w:sz w:val="22"/>
        </w:rPr>
        <w:t xml:space="preserve">les axes de travail. </w:t>
      </w:r>
      <w:r>
        <w:rPr>
          <w:sz w:val="22"/>
        </w:rPr>
        <w:t>La nouvelle Stratégie pour les plastiques souligne encore plus la pertinence des travaux réalisés par CEFLEX</w:t>
      </w:r>
      <w:r>
        <w:rPr>
          <w:sz w:val="22"/>
        </w:rPr>
        <w:t> », explique Graham Houlder, coordinateur du projet.</w:t>
      </w:r>
    </w:p>
    <w:p>
      <w:pPr>
        <w:pStyle w:val="Normal"/>
        <w:ind w:left="0" w:right="28" w:hanging="0"/>
        <w:rPr/>
      </w:pPr>
      <w:r>
        <w:rPr>
          <w:sz w:val="22"/>
        </w:rPr>
        <w:t>L’initiative porte essentiellement sur les formats d’emballage souple de produits de consommation, mono ou multicouches, fabriqués dans une variété de matières et qui actuellement ne sont pas largement collectés en vue de leur recyclage en Europe. D’après Thomas Greigeritsch de Constantia Flexibles, un leader mondial de la transformation d’emballages souples : « L’emballage souple se caractérise par une utilisation très rationnelle des matières, ne générant qu’une quantité limitée de déchets en fin de vie, mais faute de collecte, les déchets ne peuvent être triés et recyclés. »</w:t>
      </w:r>
    </w:p>
    <w:p>
      <w:pPr>
        <w:pStyle w:val="Normal"/>
        <w:ind w:left="0" w:right="28" w:hanging="0"/>
        <w:rPr/>
      </w:pPr>
      <w:r>
        <w:rPr>
          <w:sz w:val="22"/>
        </w:rPr>
        <w:t>« Il existe un réel besoin de multiplier les initiatives de collecte et de sensibiliser davantage au fait qu’une grande partie du flux de déchets de consommation peut aujourd’hui être recyclée. En effet, il n’est pas concevable, dans une économie circulaire, de simplement envoyer de précieuses matières vers des sites d’enfouissement ou de récupération de l’énergie alors qu’elles peuvent être recyclées. Ceci est le premier axe prioritaire de CEFLEX », ajoute-t-il.</w:t>
      </w:r>
    </w:p>
    <w:p>
      <w:pPr>
        <w:pStyle w:val="Normal"/>
        <w:ind w:left="0" w:right="28" w:hanging="0"/>
        <w:rPr/>
      </w:pPr>
      <w:r>
        <w:rPr>
          <w:sz w:val="22"/>
        </w:rPr>
        <w:t>D’autre part, CEFLEX a pour but d’aider à améliorer la capacité de recyclage des emballages souples. Nous élaborons actuellement des Lignes directrices de conception pour une économie circulaire visant les emballages souples de dimensions inférieures au format A4. Nous nous appuyons pour cela sur les précieuses connaissances des différents partenaires. La première version des Lignes directrices de conception sera publiée au printemps 2018 pour consultation publique. Kevin Vyse de Marks &amp; Spencer (R-U) confirme que celles-ci seront déterminantes pour augmenter le recyclage des emballages souples. « Nous (M&amp;S) espérons tirer des avantages tant économiques qu’environnementaux de la conception d’emballages souples plus facilement recyclables. »</w:t>
      </w:r>
    </w:p>
    <w:p>
      <w:pPr>
        <w:pStyle w:val="Normal"/>
        <w:ind w:left="0" w:right="28" w:hanging="0"/>
        <w:rPr/>
      </w:pPr>
      <w:r>
        <w:rPr>
          <w:sz w:val="22"/>
        </w:rPr>
        <w:t>De plus, les partenaires CEFLEX conjuguent leurs efforts pour identifier et promouvoir les meilleures solutions en vue d’augmenter le recyclage des emballages souples dans une économie circulaire. Michael Heyde de DSD (Allemagne) explique : « Des projets sont prévus pour nous aider à identifier les évolutions techniques les plus prometteuses afin de trier et de recycler de manière efficace et économique les emballages de consommation souples. Ensuite, nous les validerons dans le cadre d’un vaste programme d’essais et d’expériences pilotes. L’objectif est de trouver et de mettre en œuvre des solutions pratiques et évolutives plus rapidement. »</w:t>
      </w:r>
    </w:p>
    <w:p>
      <w:pPr>
        <w:pStyle w:val="Normal"/>
        <w:ind w:left="0" w:right="28" w:hanging="0"/>
        <w:rPr/>
      </w:pPr>
      <w:r>
        <w:rPr>
          <w:sz w:val="22"/>
        </w:rPr>
        <w:t>Graham Houlder appelle de ses vœux des progrès rapides, tout en reconnaissant la nécessité du large soutien de la société dans son ensemble : « Notre objectif est d’obtenir un engagement et une adhésion de l’ensemble de la chaîne de valeur, y compris des collectivités locales et du législateur. Cela est essentiel pour garantir l’adoption et la mise en œuvre à grande échelle de ce que nous sommes en train de développer pour l’emballage souple dans une économie circulaire. »</w:t>
      </w:r>
    </w:p>
    <w:p>
      <w:pPr>
        <w:pStyle w:val="Normal"/>
        <w:ind w:left="0" w:right="0" w:hanging="0"/>
        <w:rPr/>
      </w:pPr>
      <w:r>
        <w:rPr>
          <w:sz w:val="22"/>
        </w:rPr>
        <w:t>Si vous souhaitez participer à l’initiative CEFLEX ou en savoir plus sur les activités, écrivez à l’adresse info@ceflex.eu ou consultez le site www.CEFLEX.eu.</w:t>
      </w:r>
    </w:p>
    <w:p>
      <w:pPr>
        <w:pStyle w:val="Normal"/>
        <w:spacing w:lineRule="atLeast" w:line="22"/>
        <w:ind w:left="0" w:right="0" w:hanging="0"/>
        <w:rPr>
          <w:sz w:val="22"/>
        </w:rPr>
      </w:pPr>
      <w:r>
        <w:rPr>
          <w:sz w:val="22"/>
        </w:rPr>
      </w:r>
    </w:p>
    <w:p>
      <w:pPr>
        <w:pStyle w:val="Normal"/>
        <w:rPr/>
      </w:pPr>
      <w:r>
        <w:rPr>
          <w:rFonts w:cs="Times New Roman" w:ascii="Cambria" w:hAnsi="Cambria"/>
          <w:i/>
          <w:iCs/>
          <w:sz w:val="22"/>
        </w:rPr>
        <w:t xml:space="preserve">CEFLEX est le projet de collaboration d’un consortium d’entreprises et d’associations européennes représentant toute la chaîne de valeur de l’emballage souple. Le projet a pour mission d’améliorer encore davantage les performances de l’emballage souple dans l’économie circulaire en soutenant de meilleures solutions de conception à travers la collaboration. Les parties prenantes au projet sont : The Alliance for Beverage Cartons and Environment, Amcor, </w:t>
      </w:r>
      <w:r>
        <w:rPr>
          <w:rFonts w:cs="Times New Roman" w:ascii="Cambria" w:hAnsi="Cambria"/>
          <w:i/>
          <w:iCs/>
          <w:sz w:val="22"/>
        </w:rPr>
        <w:t>Applied Materials,</w:t>
      </w:r>
      <w:r>
        <w:rPr>
          <w:rFonts w:cs="Times New Roman" w:ascii="Cambria" w:hAnsi="Cambria"/>
          <w:i/>
          <w:iCs/>
          <w:sz w:val="22"/>
        </w:rPr>
        <w:t xml:space="preserve"> Attero, APK AG, Barilla Group, Borealis, Robert Bosch – Packaging Technology, Brückner Machinenbau, cfp flexible packaging, Citeo, Constantia Flexibles, Dow Europe, DSD, DuPont, EcoBlue, ecolean, Erema Group, EXPRA, FFP Packaging Solutions, Flexible Packaging Europe, Gualapack Group, </w:t>
      </w:r>
      <w:r>
        <w:rPr>
          <w:rFonts w:cs="Times New Roman" w:ascii="Cambria" w:hAnsi="Cambria"/>
          <w:i/>
          <w:iCs/>
          <w:sz w:val="22"/>
        </w:rPr>
        <w:t xml:space="preserve">Haribo, </w:t>
      </w:r>
      <w:r>
        <w:rPr>
          <w:rFonts w:cs="Times New Roman" w:ascii="Cambria" w:hAnsi="Cambria"/>
          <w:i/>
          <w:iCs/>
          <w:sz w:val="22"/>
        </w:rPr>
        <w:t>Henkel, Hill’s Pet Nutrition, Huhtamaki, Hydro Aluminium Rolled Products, Immer Group, Ineos, Jindal Films Europe, M&amp;S, Mondi Consumer Packaging, mtm plastics (membre du groupe Borealis), Nestlé, PepsiCo, pladis, PlasticsEurope, Plastotecnica, Polypouch, Royal Canin SAS, The Procter and Gamble Company, Polifilm, Pyral, Sappi Packaging and Specialty Papers, Sealed Air, Siegwerk, Südpack, Suez, Tomra Sorting, Tönsmeier Wertstof</w:t>
      </w:r>
      <w:bookmarkStart w:id="0" w:name="_GoBack"/>
      <w:bookmarkEnd w:id="0"/>
      <w:r>
        <w:rPr>
          <w:rFonts w:cs="Times New Roman" w:ascii="Cambria" w:hAnsi="Cambria"/>
          <w:i/>
          <w:iCs/>
          <w:sz w:val="22"/>
        </w:rPr>
        <w:t>fe, Toray Films Europe, Unilever et Wipak.</w:t>
      </w:r>
    </w:p>
    <w:p>
      <w:pPr>
        <w:pStyle w:val="Normal"/>
        <w:ind w:left="0" w:right="28" w:hanging="0"/>
        <w:rPr>
          <w:rFonts w:ascii="Cambria" w:hAnsi="Cambria" w:cs="Times New Roman"/>
          <w:sz w:val="22"/>
        </w:rPr>
      </w:pPr>
      <w:r>
        <w:rPr>
          <w:rFonts w:cs="Times New Roman" w:ascii="Cambria" w:hAnsi="Cambria"/>
          <w:sz w:val="22"/>
        </w:rPr>
      </w:r>
    </w:p>
    <w:p>
      <w:pPr>
        <w:pStyle w:val="Normal"/>
        <w:spacing w:lineRule="auto" w:line="240" w:before="0" w:after="0"/>
        <w:ind w:left="0" w:right="0" w:hanging="0"/>
        <w:rPr>
          <w:b/>
          <w:b/>
          <w:sz w:val="16"/>
        </w:rPr>
      </w:pPr>
      <w:r>
        <w:rPr>
          <w:b/>
          <w:sz w:val="16"/>
        </w:rPr>
      </w:r>
    </w:p>
    <w:p>
      <w:pPr>
        <w:pStyle w:val="Normal"/>
        <w:spacing w:lineRule="auto" w:line="240" w:before="0" w:after="0"/>
        <w:ind w:left="0" w:right="0" w:hanging="0"/>
        <w:rPr>
          <w:b/>
          <w:b/>
          <w:sz w:val="16"/>
        </w:rPr>
      </w:pPr>
      <w:r>
        <w:rPr>
          <w:b/>
          <w:sz w:val="16"/>
        </w:rPr>
      </w:r>
    </w:p>
    <w:p>
      <w:pPr>
        <w:pStyle w:val="Normal"/>
        <w:spacing w:lineRule="auto" w:line="240" w:before="0" w:after="0"/>
        <w:ind w:left="0" w:right="0" w:hanging="0"/>
        <w:rPr>
          <w:b/>
          <w:b/>
          <w:sz w:val="16"/>
        </w:rPr>
      </w:pPr>
      <w:r>
        <w:rPr>
          <w:b/>
          <w:sz w:val="16"/>
        </w:rPr>
      </w:r>
    </w:p>
    <w:p>
      <w:pPr>
        <w:pStyle w:val="Normal"/>
        <w:spacing w:lineRule="auto" w:line="240" w:before="0" w:after="0"/>
        <w:ind w:left="0" w:right="0" w:hanging="0"/>
        <w:rPr/>
      </w:pPr>
      <w:r>
        <w:rPr>
          <w:b/>
          <w:sz w:val="16"/>
        </w:rPr>
        <w:t>CONTACT PRESSE :</w:t>
      </w:r>
      <w:r>
        <w:rPr>
          <w:sz w:val="16"/>
        </w:rPr>
        <w:tab/>
        <w:tab/>
        <w:tab/>
      </w:r>
      <w:r>
        <w:rPr>
          <w:b/>
          <w:sz w:val="16"/>
        </w:rPr>
        <w:t>CONTACT CLIENT :</w:t>
      </w:r>
    </w:p>
    <w:p>
      <w:pPr>
        <w:pStyle w:val="Normal"/>
        <w:spacing w:lineRule="auto" w:line="240" w:before="0" w:after="0"/>
        <w:ind w:left="0" w:right="0" w:hanging="0"/>
        <w:rPr/>
      </w:pPr>
      <w:r>
        <w:rPr>
          <w:sz w:val="16"/>
        </w:rPr>
        <w:t>MAJIC LIMITED</w:t>
        <w:tab/>
        <w:tab/>
        <w:tab/>
        <w:tab/>
        <w:t xml:space="preserve">CEFLEX </w:t>
      </w:r>
    </w:p>
    <w:p>
      <w:pPr>
        <w:pStyle w:val="Normal"/>
        <w:spacing w:lineRule="auto" w:line="240" w:before="0" w:after="0"/>
        <w:ind w:left="0" w:right="0" w:hanging="0"/>
        <w:rPr/>
      </w:pPr>
      <w:r>
        <w:rPr>
          <w:sz w:val="16"/>
        </w:rPr>
        <w:t>Audrey Koop</w:t>
        <w:tab/>
        <w:tab/>
        <w:tab/>
        <w:tab/>
        <w:t>Graham Houlder</w:t>
      </w:r>
    </w:p>
    <w:p>
      <w:pPr>
        <w:pStyle w:val="Normal"/>
        <w:spacing w:lineRule="auto" w:line="240" w:before="0" w:after="0"/>
        <w:ind w:left="0" w:right="0" w:hanging="0"/>
        <w:rPr/>
      </w:pPr>
      <w:r>
        <w:rPr>
          <w:sz w:val="16"/>
        </w:rPr>
        <w:t>T : +44(0) 1424 777783</w:t>
        <w:tab/>
        <w:tab/>
        <w:tab/>
        <w:t>Coordinateur du projet</w:t>
      </w:r>
    </w:p>
    <w:p>
      <w:pPr>
        <w:pStyle w:val="Normal"/>
        <w:spacing w:lineRule="auto" w:line="240" w:before="0" w:after="0"/>
        <w:ind w:left="0" w:right="0" w:hanging="0"/>
        <w:rPr/>
      </w:pPr>
      <w:r>
        <w:rPr>
          <w:sz w:val="16"/>
        </w:rPr>
        <w:t>E : majic.audrey@majiclimited.co.uk</w:t>
        <w:tab/>
        <w:tab/>
        <w:t>Graham@SLOOP-Consulting.com</w:t>
      </w:r>
    </w:p>
    <w:p>
      <w:pPr>
        <w:pStyle w:val="Normal"/>
        <w:ind w:left="0" w:right="28" w:hanging="0"/>
        <w:rPr>
          <w:sz w:val="22"/>
        </w:rPr>
      </w:pPr>
      <w:r>
        <w:rPr>
          <w:sz w:val="22"/>
        </w:rPr>
      </w:r>
    </w:p>
    <w:p>
      <w:pPr>
        <w:pStyle w:val="Normal"/>
        <w:ind w:left="0" w:right="28" w:hanging="0"/>
        <w:rPr>
          <w:sz w:val="22"/>
        </w:rPr>
      </w:pPr>
      <w:r>
        <w:rPr>
          <w:sz w:val="22"/>
        </w:rPr>
      </w:r>
    </w:p>
    <w:p>
      <w:pPr>
        <w:pStyle w:val="ListParagraph"/>
        <w:numPr>
          <w:ilvl w:val="0"/>
          <w:numId w:val="0"/>
        </w:numPr>
        <w:spacing w:before="0" w:after="160"/>
        <w:ind w:left="1112" w:right="28" w:hanging="239"/>
        <w:contextualSpacing/>
        <w:rPr/>
      </w:pPr>
      <w:r>
        <w:rPr/>
      </w:r>
    </w:p>
    <w:sectPr>
      <w:headerReference w:type="default" r:id="rId2"/>
      <w:footerReference w:type="default" r:id="rId3"/>
      <w:type w:val="nextPage"/>
      <w:pgSz w:w="11906" w:h="16820"/>
      <w:pgMar w:left="1418" w:right="1410" w:header="708" w:top="2127" w:footer="824" w:bottom="125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ucida Grande">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ageno"/>
      <w:rPr/>
    </w:pPr>
    <w:hyperlink r:id="rId1">
      <w:r>
        <w:rPr>
          <w:rStyle w:val="LienInternet"/>
          <w:rFonts w:cs="Arial"/>
          <w:u w:val="none"/>
        </w:rPr>
        <w:t>www.ceflex.eu</w:t>
      </w:r>
    </w:hyperlink>
    <w:r>
      <w:rPr/>
      <w:tab/>
      <w:tab/>
    </w:r>
    <w:r>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mc:AlternateContent>
        <mc:Choice Requires="wps">
          <w:drawing>
            <wp:anchor behindDoc="1" distT="0" distB="0" distL="0" distR="0" simplePos="0" locked="0" layoutInCell="1" allowOverlap="1" relativeHeight="3">
              <wp:simplePos x="0" y="0"/>
              <wp:positionH relativeFrom="column">
                <wp:posOffset>10160</wp:posOffset>
              </wp:positionH>
              <wp:positionV relativeFrom="paragraph">
                <wp:posOffset>5080</wp:posOffset>
              </wp:positionV>
              <wp:extent cx="1948815" cy="566420"/>
              <wp:effectExtent l="0" t="0" r="0" b="0"/>
              <wp:wrapNone/>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1948320" cy="565920"/>
                      </a:xfrm>
                      <a:prstGeom prst="rect">
                        <a:avLst/>
                      </a:prstGeom>
                      <a:ln>
                        <a:noFill/>
                      </a:ln>
                    </pic:spPr>
                  </pic:pic>
                </a:graphicData>
              </a:graphic>
            </wp:anchor>
          </w:drawing>
        </mc:Choice>
        <mc:Fallback>
          <w:pict>
            <v:rect id="shape_0" stroked="f" style="position:absolute;margin-left:0.8pt;margin-top:0.4pt;width:153.35pt;height:44.5pt">
              <v:imagedata r:id="rId1" o:detectmouseclick="t"/>
              <w10:wrap type="none"/>
              <v:stroke color="#3465a4" joinstyle="round" endcap="flat"/>
            </v:rect>
          </w:pict>
        </mc:Fallback>
      </mc:AlternateContent>
    </w:r>
    <w:r>
      <mc:AlternateContent>
        <mc:Choice Requires="wps">
          <w:drawing>
            <wp:anchor behindDoc="1" distT="45720" distB="45720" distL="114935" distR="114935" simplePos="0" locked="0" layoutInCell="1" allowOverlap="1" relativeHeight="5">
              <wp:simplePos x="0" y="0"/>
              <wp:positionH relativeFrom="column">
                <wp:posOffset>1833245</wp:posOffset>
              </wp:positionH>
              <wp:positionV relativeFrom="page">
                <wp:posOffset>445770</wp:posOffset>
              </wp:positionV>
              <wp:extent cx="3930650" cy="448945"/>
              <wp:effectExtent l="0" t="0" r="0" b="0"/>
              <wp:wrapNone/>
              <wp:docPr id="2" name=""/>
              <a:graphic xmlns:a="http://schemas.openxmlformats.org/drawingml/2006/main">
                <a:graphicData uri="http://schemas.microsoft.com/office/word/2010/wordprocessingShape">
                  <wps:wsp>
                    <wps:cNvSpPr txBox="1"/>
                    <wps:spPr>
                      <a:xfrm>
                        <a:off x="0" y="0"/>
                        <a:ext cx="3930650" cy="448945"/>
                      </a:xfrm>
                      <a:prstGeom prst="rect"/>
                      <a:solidFill>
                        <a:srgbClr val="FFFFFF">
                          <a:alpha val="0"/>
                        </a:srgbClr>
                      </a:solidFill>
                    </wps:spPr>
                    <wps:txbx>
                      <w:txbxContent>
                        <w:p>
                          <w:pPr>
                            <w:pStyle w:val="PR"/>
                            <w:spacing w:before="0" w:after="160"/>
                            <w:jc w:val="right"/>
                            <w:rPr/>
                          </w:pPr>
                          <w:r>
                            <w:rPr>
                              <w:color w:val="005399"/>
                              <w:sz w:val="40"/>
                            </w:rPr>
                            <w:t>COMMUNIQUÉ DE PRESSE</w:t>
                          </w:r>
                        </w:p>
                      </w:txbxContent>
                    </wps:txbx>
                    <wps:bodyPr anchor="t" lIns="92075" tIns="46355" rIns="92075" bIns="46355">
                      <a:noAutofit/>
                    </wps:bodyPr>
                  </wps:wsp>
                </a:graphicData>
              </a:graphic>
            </wp:anchor>
          </w:drawing>
        </mc:Choice>
        <mc:Fallback>
          <w:pict>
            <v:rect fillcolor="#FFFFFF" stroked="f" strokeweight="0pt" style="position:absolute;rotation:0;width:309.5pt;height:35.35pt;mso-wrap-distance-left:9.05pt;mso-wrap-distance-right:9.05pt;mso-wrap-distance-top:3.6pt;mso-wrap-distance-bottom:3.6pt;margin-top:35.1pt;mso-position-vertical-relative:page;margin-left:144.35pt;mso-position-horizontal-relative:text">
              <v:fill opacity="0f"/>
              <v:textbox inset="0.100694444444444in,0.0506944444444444in,0.100694444444444in,0.0506944444444444in">
                <w:txbxContent>
                  <w:p>
                    <w:pPr>
                      <w:pStyle w:val="PR"/>
                      <w:spacing w:before="0" w:after="160"/>
                      <w:jc w:val="right"/>
                      <w:rPr/>
                    </w:pPr>
                    <w:r>
                      <w:rPr>
                        <w:color w:val="005399"/>
                        <w:sz w:val="40"/>
                      </w:rPr>
                      <w:t>COMMUNIQUÉ DE PRESSE</w:t>
                    </w:r>
                  </w:p>
                </w:txbxContent>
              </v:textbox>
            </v:rect>
          </w:pict>
        </mc:Fallback>
      </mc:AlternateContent>
    </w:r>
    <w:r>
      <mc:AlternateContent>
        <mc:Choice Requires="wps">
          <w:drawing>
            <wp:anchor behindDoc="1" distT="45720" distB="45720" distL="114935" distR="114935" simplePos="0" locked="0" layoutInCell="1" allowOverlap="1" relativeHeight="7">
              <wp:simplePos x="0" y="0"/>
              <wp:positionH relativeFrom="column">
                <wp:posOffset>3429000</wp:posOffset>
              </wp:positionH>
              <wp:positionV relativeFrom="page">
                <wp:posOffset>779145</wp:posOffset>
              </wp:positionV>
              <wp:extent cx="2382520" cy="252730"/>
              <wp:effectExtent l="0" t="0" r="0" b="0"/>
              <wp:wrapNone/>
              <wp:docPr id="3" name=""/>
              <a:graphic xmlns:a="http://schemas.openxmlformats.org/drawingml/2006/main">
                <a:graphicData uri="http://schemas.microsoft.com/office/word/2010/wordprocessingShape">
                  <wps:wsp>
                    <wps:cNvSpPr txBox="1"/>
                    <wps:spPr>
                      <a:xfrm>
                        <a:off x="0" y="0"/>
                        <a:ext cx="2382520" cy="252730"/>
                      </a:xfrm>
                      <a:prstGeom prst="rect"/>
                      <a:solidFill>
                        <a:srgbClr val="FFFFFF">
                          <a:alpha val="0"/>
                        </a:srgbClr>
                      </a:solidFill>
                    </wps:spPr>
                    <wps:txbx>
                      <w:txbxContent>
                        <w:p>
                          <w:pPr>
                            <w:pStyle w:val="Date1"/>
                            <w:spacing w:before="0" w:after="160"/>
                            <w:rPr/>
                          </w:pPr>
                          <w:r>
                            <w:rPr/>
                            <w:t>Janvier 2018</w:t>
                          </w:r>
                        </w:p>
                      </w:txbxContent>
                    </wps:txbx>
                    <wps:bodyPr anchor="t" lIns="92075" tIns="46355" rIns="92075" bIns="46355">
                      <a:noAutofit/>
                    </wps:bodyPr>
                  </wps:wsp>
                </a:graphicData>
              </a:graphic>
            </wp:anchor>
          </w:drawing>
        </mc:Choice>
        <mc:Fallback>
          <w:pict>
            <v:rect fillcolor="#FFFFFF" stroked="f" strokeweight="0pt" style="position:absolute;rotation:0;width:187.6pt;height:19.9pt;mso-wrap-distance-left:9.05pt;mso-wrap-distance-right:9.05pt;mso-wrap-distance-top:3.6pt;mso-wrap-distance-bottom:3.6pt;margin-top:61.35pt;mso-position-vertical-relative:page;margin-left:270pt;mso-position-horizontal-relative:text">
              <v:fill opacity="0f"/>
              <v:textbox inset="0.100694444444444in,0.0506944444444444in,0.100694444444444in,0.0506944444444444in">
                <w:txbxContent>
                  <w:p>
                    <w:pPr>
                      <w:pStyle w:val="Date1"/>
                      <w:spacing w:before="0" w:after="160"/>
                      <w:rPr/>
                    </w:pPr>
                    <w:r>
                      <w:rPr/>
                      <w:t>Janvier 2018</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pStyle w:val="Titre2"/>
      <w:numFmt w:val="none"/>
      <w:suff w:val="nothing"/>
      <w:lvlText w:val=""/>
      <w:lvlJc w:val="left"/>
      <w:pPr>
        <w:ind w:left="0" w:hanging="0"/>
      </w:pPr>
    </w:lvl>
    <w:lvl w:ilvl="2">
      <w:start w:val="1"/>
      <w:pStyle w:val="Titre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isplayBackgroundShape/>
  <w:embedSystemFonts/>
  <w:defaultTabStop w:val="720"/>
  <w:autoHyphenation w:val="false"/>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4" w:before="0" w:after="160"/>
      <w:ind w:left="364" w:right="28" w:hanging="0"/>
      <w:jc w:val="left"/>
    </w:pPr>
    <w:rPr>
      <w:rFonts w:ascii="Arial" w:hAnsi="Arial" w:eastAsia="Calibri" w:cs="Arial"/>
      <w:color w:val="595959"/>
      <w:kern w:val="0"/>
      <w:sz w:val="18"/>
      <w:szCs w:val="18"/>
      <w:lang w:val="fr-FR" w:eastAsia="zh-CN" w:bidi="ar-SA"/>
    </w:rPr>
  </w:style>
  <w:style w:type="paragraph" w:styleId="Titre1">
    <w:name w:val="Heading 1"/>
    <w:basedOn w:val="Normal"/>
    <w:next w:val="Normal"/>
    <w:qFormat/>
    <w:pPr>
      <w:numPr>
        <w:ilvl w:val="0"/>
        <w:numId w:val="1"/>
      </w:numPr>
      <w:ind w:left="364" w:right="0" w:hanging="0"/>
      <w:outlineLvl w:val="0"/>
    </w:pPr>
    <w:rPr>
      <w:b/>
      <w:color w:val="000000"/>
      <w:sz w:val="36"/>
    </w:rPr>
  </w:style>
  <w:style w:type="paragraph" w:styleId="Titre2">
    <w:name w:val="Heading 2"/>
    <w:basedOn w:val="Normal"/>
    <w:next w:val="Normal"/>
    <w:qFormat/>
    <w:pPr>
      <w:numPr>
        <w:ilvl w:val="1"/>
        <w:numId w:val="1"/>
      </w:numPr>
      <w:ind w:left="364" w:right="26" w:hanging="0"/>
      <w:outlineLvl w:val="1"/>
    </w:pPr>
    <w:rPr>
      <w:color w:val="000000"/>
      <w:sz w:val="32"/>
    </w:rPr>
  </w:style>
  <w:style w:type="paragraph" w:styleId="Titre3">
    <w:name w:val="Heading 3"/>
    <w:next w:val="Normal"/>
    <w:qFormat/>
    <w:pPr>
      <w:widowControl w:val="false"/>
      <w:numPr>
        <w:ilvl w:val="2"/>
        <w:numId w:val="1"/>
      </w:numPr>
      <w:outlineLvl w:val="2"/>
    </w:pPr>
    <w:rPr>
      <w:rFonts w:ascii="Times New Roman" w:hAnsi="Times New Roman" w:eastAsia="Times New Roman" w:cs="Times New Roman"/>
      <w:color w:val="auto"/>
      <w:kern w:val="0"/>
      <w:sz w:val="18"/>
      <w:szCs w:val="20"/>
      <w:lang w:val="en-US"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Arial" w:hAnsi="Arial" w:cs="Arial"/>
      <w:color w:val="F4B083"/>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Arial" w:hAnsi="Arial" w:cs="Arial"/>
      <w:color w:val="005FAB"/>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Heading1Char" w:customStyle="1">
    <w:name w:val="Heading 1 Char"/>
    <w:qFormat/>
    <w:rPr>
      <w:rFonts w:ascii="Arial" w:hAnsi="Arial" w:cs="Arial"/>
      <w:b/>
      <w:color w:val="595959"/>
      <w:sz w:val="18"/>
    </w:rPr>
  </w:style>
  <w:style w:type="character" w:styleId="Heading2Char" w:customStyle="1">
    <w:name w:val="Heading 2 Char"/>
    <w:qFormat/>
    <w:rPr>
      <w:rFonts w:ascii="Arial" w:hAnsi="Arial" w:cs="Arial"/>
      <w:color w:val="595959"/>
      <w:sz w:val="18"/>
    </w:rPr>
  </w:style>
  <w:style w:type="character" w:styleId="Heading3Char" w:customStyle="1">
    <w:name w:val="Heading 3 Char"/>
    <w:qFormat/>
    <w:rPr>
      <w:rFonts w:ascii="Arial" w:hAnsi="Arial" w:cs="Arial"/>
      <w:color w:val="808080"/>
      <w:sz w:val="18"/>
    </w:rPr>
  </w:style>
  <w:style w:type="character" w:styleId="HeaderChar" w:customStyle="1">
    <w:name w:val="Header Char"/>
    <w:qFormat/>
    <w:rPr>
      <w:rFonts w:cs="Times New Roman"/>
    </w:rPr>
  </w:style>
  <w:style w:type="character" w:styleId="FooterChar" w:customStyle="1">
    <w:name w:val="Footer Char"/>
    <w:qFormat/>
    <w:rPr>
      <w:rFonts w:ascii="Arial" w:hAnsi="Arial" w:cs="Arial"/>
      <w:b/>
      <w:color w:val="005FAB"/>
      <w:sz w:val="24"/>
    </w:rPr>
  </w:style>
  <w:style w:type="character" w:styleId="IntenseQuoteChar" w:customStyle="1">
    <w:name w:val="Intense Quote Char"/>
    <w:qFormat/>
    <w:rPr>
      <w:rFonts w:ascii="Arial" w:hAnsi="Arial" w:cs="Arial"/>
      <w:color w:val="808080"/>
      <w:sz w:val="18"/>
    </w:rPr>
  </w:style>
  <w:style w:type="character" w:styleId="LienInternet">
    <w:name w:val="Lien Internet"/>
    <w:rPr>
      <w:rFonts w:cs="Times New Roman"/>
      <w:color w:val="0563C1"/>
      <w:u w:val="single"/>
    </w:rPr>
  </w:style>
  <w:style w:type="character" w:styleId="Mention1" w:customStyle="1">
    <w:name w:val="Mention1"/>
    <w:qFormat/>
    <w:rPr>
      <w:rFonts w:cs="Times New Roman"/>
      <w:color w:val="2B579A"/>
      <w:shd w:fill="E6E6E6" w:val="clear"/>
    </w:rPr>
  </w:style>
  <w:style w:type="character" w:styleId="PagenoChar" w:customStyle="1">
    <w:name w:val="Page no Char"/>
    <w:qFormat/>
    <w:rPr>
      <w:rFonts w:ascii="Arial" w:hAnsi="Arial" w:cs="Arial"/>
      <w:b/>
      <w:color w:val="767171"/>
      <w:sz w:val="24"/>
    </w:rPr>
  </w:style>
  <w:style w:type="character" w:styleId="PRChar" w:customStyle="1">
    <w:name w:val="PR Char"/>
    <w:qFormat/>
    <w:rPr>
      <w:rFonts w:ascii="Arial" w:hAnsi="Arial" w:cs="Arial"/>
      <w:b/>
      <w:color w:val="595959"/>
      <w:sz w:val="18"/>
    </w:rPr>
  </w:style>
  <w:style w:type="character" w:styleId="DateChar" w:customStyle="1">
    <w:name w:val="date Char"/>
    <w:qFormat/>
    <w:rPr>
      <w:rFonts w:ascii="Arial" w:hAnsi="Arial" w:cs="Arial"/>
      <w:b/>
      <w:color w:val="595959"/>
      <w:sz w:val="18"/>
    </w:rPr>
  </w:style>
  <w:style w:type="character" w:styleId="BalloonTextChar" w:customStyle="1">
    <w:name w:val="Balloon Text Char"/>
    <w:qFormat/>
    <w:rPr>
      <w:rFonts w:ascii="Lucida Grande" w:hAnsi="Lucida Grande" w:cs="Arial"/>
      <w:color w:val="595959"/>
      <w:sz w:val="18"/>
    </w:rPr>
  </w:style>
  <w:style w:type="character" w:styleId="Annotationreference">
    <w:name w:val="annotation reference"/>
    <w:qFormat/>
    <w:rPr>
      <w:rFonts w:cs="Times New Roman"/>
      <w:sz w:val="18"/>
    </w:rPr>
  </w:style>
  <w:style w:type="character" w:styleId="CommentTextChar" w:customStyle="1">
    <w:name w:val="Comment Text Char"/>
    <w:qFormat/>
    <w:rPr>
      <w:rFonts w:ascii="Arial" w:hAnsi="Arial" w:cs="Arial"/>
      <w:color w:val="595959"/>
      <w:sz w:val="24"/>
    </w:rPr>
  </w:style>
  <w:style w:type="character" w:styleId="CommentSubjectChar" w:customStyle="1">
    <w:name w:val="Comment Subject Char"/>
    <w:qFormat/>
    <w:rPr>
      <w:rFonts w:ascii="Arial" w:hAnsi="Arial" w:cs="Arial"/>
      <w:b/>
      <w:bCs/>
      <w:color w:val="595959"/>
      <w:sz w:val="24"/>
    </w:rPr>
  </w:style>
  <w:style w:type="character" w:styleId="DocumentMapChar" w:customStyle="1">
    <w:name w:val="Document Map Char"/>
    <w:qFormat/>
    <w:rPr>
      <w:rFonts w:ascii="Times New Roman" w:hAnsi="Times New Roman" w:cs="Times New Roman"/>
      <w:color w:val="595959"/>
      <w:sz w:val="24"/>
    </w:rPr>
  </w:style>
  <w:style w:type="character" w:styleId="ListLabel1">
    <w:name w:val="ListLabel 1"/>
    <w:qFormat/>
    <w:rPr>
      <w:rFonts w:cs="Arial"/>
      <w:color w:val="005FAB"/>
    </w:rPr>
  </w:style>
  <w:style w:type="paragraph" w:styleId="Titre" w:customStyle="1">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tenseQuote">
    <w:name w:val="Intense Quote"/>
    <w:basedOn w:val="Titre2"/>
    <w:next w:val="Normal"/>
    <w:qFormat/>
    <w:pPr>
      <w:numPr>
        <w:ilvl w:val="0"/>
        <w:numId w:val="0"/>
      </w:numPr>
      <w:ind w:left="364" w:right="26" w:hanging="0"/>
    </w:pPr>
    <w:rPr>
      <w:sz w:val="24"/>
    </w:rPr>
  </w:style>
  <w:style w:type="paragraph" w:styleId="Entte">
    <w:name w:val="Header"/>
    <w:basedOn w:val="Normal"/>
    <w:pPr>
      <w:spacing w:lineRule="auto" w:line="240" w:before="0" w:after="0"/>
    </w:pPr>
    <w:rPr/>
  </w:style>
  <w:style w:type="paragraph" w:styleId="Pieddepage">
    <w:name w:val="Footer"/>
    <w:basedOn w:val="Normal"/>
    <w:pPr>
      <w:spacing w:lineRule="auto" w:line="240" w:before="0" w:after="0"/>
      <w:ind w:left="-798" w:right="28" w:hanging="0"/>
    </w:pPr>
    <w:rPr>
      <w:b/>
      <w:color w:val="005FAB"/>
      <w:sz w:val="24"/>
      <w:szCs w:val="24"/>
    </w:rPr>
  </w:style>
  <w:style w:type="paragraph" w:styleId="ListParagraph">
    <w:name w:val="List Paragraph"/>
    <w:basedOn w:val="Normal"/>
    <w:qFormat/>
    <w:pPr>
      <w:spacing w:lineRule="auto" w:line="288" w:before="0" w:after="160"/>
      <w:ind w:left="993" w:right="28" w:hanging="239"/>
      <w:contextualSpacing/>
    </w:pPr>
    <w:rPr/>
  </w:style>
  <w:style w:type="paragraph" w:styleId="Pageno" w:customStyle="1">
    <w:name w:val="Page no"/>
    <w:basedOn w:val="Pieddepage"/>
    <w:qFormat/>
    <w:pPr>
      <w:ind w:left="0" w:right="28" w:hanging="0"/>
      <w:jc w:val="both"/>
    </w:pPr>
    <w:rPr>
      <w:b w:val="false"/>
      <w:color w:val="767171"/>
    </w:rPr>
  </w:style>
  <w:style w:type="paragraph" w:styleId="PR" w:customStyle="1">
    <w:name w:val="PR"/>
    <w:basedOn w:val="Titre1"/>
    <w:qFormat/>
    <w:pPr>
      <w:numPr>
        <w:ilvl w:val="0"/>
        <w:numId w:val="0"/>
      </w:numPr>
      <w:ind w:left="364" w:right="0" w:hanging="0"/>
    </w:pPr>
    <w:rPr/>
  </w:style>
  <w:style w:type="paragraph" w:styleId="Date1" w:customStyle="1">
    <w:name w:val="Date1"/>
    <w:basedOn w:val="PR"/>
    <w:qFormat/>
    <w:pPr>
      <w:jc w:val="right"/>
    </w:pPr>
    <w:rPr>
      <w:b w:val="false"/>
      <w:sz w:val="22"/>
    </w:rPr>
  </w:style>
  <w:style w:type="paragraph" w:styleId="BalloonText">
    <w:name w:val="Balloon Text"/>
    <w:basedOn w:val="Normal"/>
    <w:qFormat/>
    <w:pPr/>
    <w:rPr>
      <w:rFonts w:ascii="Lucida Grande" w:hAnsi="Lucida Grande" w:cs="Lucida Grande"/>
      <w:color w:val="000000"/>
    </w:rPr>
  </w:style>
  <w:style w:type="paragraph" w:styleId="Annotationtext">
    <w:name w:val="annotation text"/>
    <w:basedOn w:val="Normal"/>
    <w:qFormat/>
    <w:pPr/>
    <w:rPr>
      <w:color w:val="000000"/>
      <w:sz w:val="24"/>
      <w:szCs w:val="24"/>
    </w:rPr>
  </w:style>
  <w:style w:type="paragraph" w:styleId="Annotationsubject">
    <w:name w:val="annotation subject"/>
    <w:basedOn w:val="Annotationtext"/>
    <w:qFormat/>
    <w:pPr/>
    <w:rPr>
      <w:sz w:val="18"/>
      <w:szCs w:val="18"/>
    </w:rPr>
  </w:style>
  <w:style w:type="paragraph" w:styleId="DocumentMap">
    <w:name w:val="Document Map"/>
    <w:basedOn w:val="Normal"/>
    <w:qFormat/>
    <w:pPr/>
    <w:rPr>
      <w:rFonts w:ascii="Times New Roman" w:hAnsi="Times New Roman" w:cs="Times New Roman"/>
      <w:color w:val="000000"/>
      <w:sz w:val="24"/>
      <w:szCs w:val="24"/>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eflex.eu/"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LibreOffice/5.4.3.2$Windows_X86_64 LibreOffice_project/92a7159f7e4af62137622921e809f8546db437e5</Application>
  <Pages>2</Pages>
  <Words>818</Words>
  <Characters>4849</Characters>
  <CharactersWithSpaces>5663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2018-01-18T16:37:00Z</dcterms:created>
  <dc:creator>Alex Kelly</dc:creator>
  <dc:description/>
  <dc:language>fr-FR</dc:language>
  <cp:lastModifiedBy>Dominique Lopez</cp:lastModifiedBy>
  <cp:lastPrinted>1899-12-31T23:00:00Z</cp:lastPrinted>
  <dcterms:modified xsi:type="dcterms:W3CDTF">2018-01-22T14:33:21Z</dcterms:modified>
  <cp:revision>4</cp:revision>
  <dc:subject/>
  <dc:title>Heading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